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98" w:rsidRPr="00423C5F" w:rsidRDefault="00BA7D0D" w:rsidP="00423C5F">
      <w:pPr>
        <w:jc w:val="center"/>
        <w:rPr>
          <w:rFonts w:ascii="方正小标宋简体" w:eastAsia="方正小标宋简体" w:hint="eastAsia"/>
          <w:sz w:val="32"/>
          <w:szCs w:val="32"/>
        </w:rPr>
      </w:pPr>
      <w:r w:rsidRPr="00423C5F">
        <w:rPr>
          <w:rFonts w:ascii="方正小标宋简体" w:eastAsia="方正小标宋简体" w:hint="eastAsia"/>
          <w:sz w:val="32"/>
          <w:szCs w:val="32"/>
        </w:rPr>
        <w:t>山东大学2018年拟增设专业简介</w:t>
      </w:r>
    </w:p>
    <w:tbl>
      <w:tblPr>
        <w:tblStyle w:val="a7"/>
        <w:tblW w:w="5385" w:type="pct"/>
        <w:jc w:val="center"/>
        <w:tblLook w:val="04A0" w:firstRow="1" w:lastRow="0" w:firstColumn="1" w:lastColumn="0" w:noHBand="0" w:noVBand="1"/>
      </w:tblPr>
      <w:tblGrid>
        <w:gridCol w:w="1890"/>
        <w:gridCol w:w="1229"/>
        <w:gridCol w:w="1703"/>
        <w:gridCol w:w="10200"/>
      </w:tblGrid>
      <w:tr w:rsidR="00941114" w:rsidRPr="00596A7B" w:rsidTr="002845A1">
        <w:trPr>
          <w:trHeight w:val="665"/>
          <w:jc w:val="center"/>
        </w:trPr>
        <w:tc>
          <w:tcPr>
            <w:tcW w:w="629" w:type="pct"/>
            <w:vAlign w:val="center"/>
          </w:tcPr>
          <w:p w:rsidR="00596A7B" w:rsidRPr="00575E2C" w:rsidRDefault="00596A7B" w:rsidP="002845A1">
            <w:pPr>
              <w:spacing w:before="100" w:beforeAutospacing="1" w:after="100" w:afterAutospacing="1" w:line="240" w:lineRule="atLeast"/>
              <w:jc w:val="center"/>
              <w:rPr>
                <w:rFonts w:ascii="宋体" w:eastAsia="宋体" w:hAnsi="宋体" w:cs="Times New Roman"/>
                <w:b/>
                <w:sz w:val="24"/>
                <w:szCs w:val="21"/>
              </w:rPr>
            </w:pPr>
            <w:r w:rsidRPr="00575E2C">
              <w:rPr>
                <w:rFonts w:ascii="宋体" w:eastAsia="宋体" w:hAnsi="宋体" w:cs="Times New Roman"/>
                <w:b/>
                <w:sz w:val="24"/>
                <w:szCs w:val="21"/>
              </w:rPr>
              <w:t>专业名称</w:t>
            </w:r>
          </w:p>
        </w:tc>
        <w:tc>
          <w:tcPr>
            <w:tcW w:w="409" w:type="pct"/>
            <w:vAlign w:val="center"/>
          </w:tcPr>
          <w:p w:rsidR="00596A7B" w:rsidRPr="00575E2C" w:rsidRDefault="00596A7B" w:rsidP="002845A1">
            <w:pPr>
              <w:spacing w:before="100" w:beforeAutospacing="1" w:after="100" w:afterAutospacing="1" w:line="240" w:lineRule="atLeast"/>
              <w:jc w:val="center"/>
              <w:rPr>
                <w:rFonts w:ascii="宋体" w:eastAsia="宋体" w:hAnsi="宋体" w:cs="Times New Roman"/>
                <w:b/>
                <w:sz w:val="24"/>
                <w:szCs w:val="21"/>
              </w:rPr>
            </w:pPr>
            <w:r w:rsidRPr="00575E2C">
              <w:rPr>
                <w:rFonts w:ascii="宋体" w:eastAsia="宋体" w:hAnsi="宋体" w:cs="Times New Roman"/>
                <w:b/>
                <w:sz w:val="24"/>
                <w:szCs w:val="21"/>
              </w:rPr>
              <w:t>专业代码</w:t>
            </w:r>
          </w:p>
        </w:tc>
        <w:tc>
          <w:tcPr>
            <w:tcW w:w="567" w:type="pct"/>
            <w:vAlign w:val="center"/>
          </w:tcPr>
          <w:p w:rsidR="00596A7B" w:rsidRPr="00575E2C" w:rsidRDefault="00596A7B" w:rsidP="002845A1">
            <w:pPr>
              <w:spacing w:before="100" w:beforeAutospacing="1" w:after="100" w:afterAutospacing="1" w:line="240" w:lineRule="atLeast"/>
              <w:jc w:val="center"/>
              <w:rPr>
                <w:rFonts w:ascii="宋体" w:eastAsia="宋体" w:hAnsi="宋体" w:cs="Times New Roman"/>
                <w:b/>
                <w:sz w:val="24"/>
                <w:szCs w:val="21"/>
              </w:rPr>
            </w:pPr>
            <w:r w:rsidRPr="00575E2C">
              <w:rPr>
                <w:rFonts w:ascii="宋体" w:eastAsia="宋体" w:hAnsi="宋体" w:cs="Times New Roman"/>
                <w:b/>
                <w:sz w:val="24"/>
                <w:szCs w:val="21"/>
              </w:rPr>
              <w:t>申报学院</w:t>
            </w:r>
          </w:p>
        </w:tc>
        <w:tc>
          <w:tcPr>
            <w:tcW w:w="3396" w:type="pct"/>
            <w:vAlign w:val="center"/>
          </w:tcPr>
          <w:p w:rsidR="00596A7B" w:rsidRPr="00575E2C" w:rsidRDefault="000F24F8" w:rsidP="000F24F8">
            <w:pPr>
              <w:spacing w:before="100" w:beforeAutospacing="1" w:after="100" w:afterAutospacing="1" w:line="240" w:lineRule="atLeast"/>
              <w:jc w:val="center"/>
              <w:rPr>
                <w:rFonts w:ascii="宋体" w:eastAsia="宋体" w:hAnsi="宋体" w:cs="Times New Roman"/>
                <w:b/>
                <w:sz w:val="24"/>
                <w:szCs w:val="21"/>
              </w:rPr>
            </w:pPr>
            <w:r w:rsidRPr="00575E2C">
              <w:rPr>
                <w:rFonts w:ascii="宋体" w:eastAsia="宋体" w:hAnsi="宋体" w:cs="Times New Roman" w:hint="eastAsia"/>
                <w:b/>
                <w:sz w:val="24"/>
                <w:szCs w:val="21"/>
              </w:rPr>
              <w:t>培养目标简介</w:t>
            </w:r>
          </w:p>
        </w:tc>
      </w:tr>
      <w:tr w:rsidR="00941114" w:rsidRPr="00596A7B" w:rsidTr="00FF6016">
        <w:trPr>
          <w:jc w:val="center"/>
        </w:trPr>
        <w:tc>
          <w:tcPr>
            <w:tcW w:w="629"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网络空间安全</w:t>
            </w:r>
          </w:p>
        </w:tc>
        <w:tc>
          <w:tcPr>
            <w:tcW w:w="409" w:type="pct"/>
            <w:vAlign w:val="center"/>
          </w:tcPr>
          <w:p w:rsidR="00596A7B" w:rsidRPr="00596A7B"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080911TK</w:t>
            </w:r>
          </w:p>
        </w:tc>
        <w:tc>
          <w:tcPr>
            <w:tcW w:w="567"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数学</w:t>
            </w:r>
            <w:r w:rsidR="00941114">
              <w:rPr>
                <w:rFonts w:ascii="宋体" w:eastAsia="宋体" w:hAnsi="宋体" w:cs="Times New Roman" w:hint="eastAsia"/>
                <w:szCs w:val="21"/>
              </w:rPr>
              <w:t>学</w:t>
            </w:r>
            <w:r w:rsidRPr="00596A7B">
              <w:rPr>
                <w:rFonts w:ascii="宋体" w:eastAsia="宋体" w:hAnsi="宋体" w:cs="Times New Roman"/>
                <w:szCs w:val="21"/>
              </w:rPr>
              <w:t>院</w:t>
            </w:r>
          </w:p>
        </w:tc>
        <w:tc>
          <w:tcPr>
            <w:tcW w:w="3396" w:type="pct"/>
          </w:tcPr>
          <w:p w:rsidR="00596A7B" w:rsidRPr="00596A7B" w:rsidRDefault="000F24F8" w:rsidP="00956F3B">
            <w:pPr>
              <w:spacing w:before="100" w:beforeAutospacing="1" w:after="100" w:afterAutospacing="1" w:line="240" w:lineRule="atLeast"/>
              <w:rPr>
                <w:rFonts w:ascii="宋体" w:eastAsia="宋体" w:hAnsi="宋体" w:cs="Times New Roman"/>
                <w:szCs w:val="21"/>
              </w:rPr>
            </w:pPr>
            <w:r w:rsidRPr="000F24F8">
              <w:rPr>
                <w:rFonts w:ascii="宋体" w:eastAsia="宋体" w:hAnsi="宋体" w:cs="Times New Roman" w:hint="eastAsia"/>
                <w:szCs w:val="21"/>
              </w:rPr>
              <w:t>培养能掌握网络空间安全理论基础和专业知识，熟悉相关领域发展动态，在密码学和网络与系统安全领域不仅具有较强的独立科研能力，而且具有较强的工程实践和系统开发能力。能够在国家企事业部门、国家党政军重要部门、信息技术公司等从事网络空间安全工作，或从事网络空间安全技术领域科研与教学的复合型人才。</w:t>
            </w:r>
            <w:r>
              <w:rPr>
                <w:rFonts w:ascii="宋体" w:eastAsia="宋体" w:hAnsi="宋体" w:cs="Times New Roman" w:hint="eastAsia"/>
                <w:szCs w:val="21"/>
              </w:rPr>
              <w:t>设置</w:t>
            </w:r>
            <w:r w:rsidR="00956F3B">
              <w:rPr>
                <w:rFonts w:ascii="宋体" w:eastAsia="宋体" w:hAnsi="宋体" w:cs="Times New Roman" w:hint="eastAsia"/>
                <w:szCs w:val="21"/>
              </w:rPr>
              <w:t>“</w:t>
            </w:r>
            <w:r w:rsidR="00956F3B" w:rsidRPr="000F24F8">
              <w:rPr>
                <w:rFonts w:ascii="宋体" w:eastAsia="宋体" w:hAnsi="宋体" w:cs="Times New Roman" w:hint="eastAsia"/>
                <w:szCs w:val="21"/>
              </w:rPr>
              <w:t>密码学及应用安全</w:t>
            </w:r>
            <w:r w:rsidR="00956F3B">
              <w:rPr>
                <w:rFonts w:ascii="宋体" w:eastAsia="宋体" w:hAnsi="宋体" w:cs="Times New Roman" w:hint="eastAsia"/>
                <w:szCs w:val="21"/>
              </w:rPr>
              <w:t>”</w:t>
            </w:r>
            <w:r w:rsidRPr="000F24F8">
              <w:rPr>
                <w:rFonts w:ascii="宋体" w:eastAsia="宋体" w:hAnsi="宋体" w:cs="Times New Roman" w:hint="eastAsia"/>
                <w:szCs w:val="21"/>
              </w:rPr>
              <w:t>和</w:t>
            </w:r>
            <w:r w:rsidR="00956F3B">
              <w:rPr>
                <w:rFonts w:ascii="宋体" w:eastAsia="宋体" w:hAnsi="宋体" w:cs="Times New Roman" w:hint="eastAsia"/>
                <w:szCs w:val="21"/>
              </w:rPr>
              <w:t>“</w:t>
            </w:r>
            <w:r w:rsidR="00956F3B" w:rsidRPr="000F24F8">
              <w:rPr>
                <w:rFonts w:ascii="宋体" w:eastAsia="宋体" w:hAnsi="宋体" w:cs="Times New Roman" w:hint="eastAsia"/>
                <w:szCs w:val="21"/>
              </w:rPr>
              <w:t>网络与系统安全</w:t>
            </w:r>
            <w:r w:rsidR="00956F3B">
              <w:rPr>
                <w:rFonts w:ascii="宋体" w:eastAsia="宋体" w:hAnsi="宋体" w:cs="Times New Roman" w:hint="eastAsia"/>
                <w:szCs w:val="21"/>
              </w:rPr>
              <w:t>”两个</w:t>
            </w:r>
            <w:r w:rsidRPr="000F24F8">
              <w:rPr>
                <w:rFonts w:ascii="宋体" w:eastAsia="宋体" w:hAnsi="宋体" w:cs="Times New Roman" w:hint="eastAsia"/>
                <w:szCs w:val="21"/>
              </w:rPr>
              <w:t>方向</w:t>
            </w:r>
            <w:r>
              <w:rPr>
                <w:rFonts w:ascii="宋体" w:eastAsia="宋体" w:hAnsi="宋体" w:cs="Times New Roman" w:hint="eastAsia"/>
                <w:szCs w:val="21"/>
              </w:rPr>
              <w:t>。</w:t>
            </w:r>
          </w:p>
        </w:tc>
      </w:tr>
      <w:tr w:rsidR="00941114" w:rsidRPr="00596A7B" w:rsidTr="00FF6016">
        <w:trPr>
          <w:jc w:val="center"/>
        </w:trPr>
        <w:tc>
          <w:tcPr>
            <w:tcW w:w="629"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材料科学与工程</w:t>
            </w:r>
          </w:p>
        </w:tc>
        <w:tc>
          <w:tcPr>
            <w:tcW w:w="409" w:type="pct"/>
            <w:vAlign w:val="center"/>
          </w:tcPr>
          <w:p w:rsidR="00596A7B" w:rsidRPr="00596A7B"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080401</w:t>
            </w:r>
          </w:p>
        </w:tc>
        <w:tc>
          <w:tcPr>
            <w:tcW w:w="567"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材料科学与工程学院</w:t>
            </w:r>
          </w:p>
        </w:tc>
        <w:tc>
          <w:tcPr>
            <w:tcW w:w="3396" w:type="pct"/>
          </w:tcPr>
          <w:p w:rsidR="00596A7B" w:rsidRPr="00596A7B" w:rsidRDefault="00956F3B" w:rsidP="00F4761E">
            <w:pPr>
              <w:spacing w:before="100" w:beforeAutospacing="1" w:after="100" w:afterAutospacing="1" w:line="240" w:lineRule="atLeast"/>
              <w:rPr>
                <w:rFonts w:ascii="宋体" w:eastAsia="宋体" w:hAnsi="宋体" w:cs="Times New Roman"/>
                <w:szCs w:val="21"/>
              </w:rPr>
            </w:pPr>
            <w:r w:rsidRPr="00956F3B">
              <w:rPr>
                <w:rFonts w:ascii="宋体" w:eastAsia="宋体" w:hAnsi="宋体" w:cs="Times New Roman" w:hint="eastAsia"/>
                <w:szCs w:val="21"/>
              </w:rPr>
              <w:t>培养掌握厚实的人文社会科学知识、宽厚的基础理论知识、扎实的专业知识和基本专业技能，具有宽阔的国际视野、优良的创新意识、团队合作精神和高尚的职业道德，具备综合利用材料科学与工程的基础知识和专业知识解决复杂工程技术问题的能力，能够在材料科学与工程领域中从事研究、设计、开发、检验及组织管理等工作且具有综合性、创新性、国际性和引领性的复合型一流人才。</w:t>
            </w:r>
            <w:r w:rsidR="00FF6016">
              <w:rPr>
                <w:rFonts w:ascii="宋体" w:eastAsia="宋体" w:hAnsi="宋体" w:cs="Times New Roman" w:hint="eastAsia"/>
                <w:szCs w:val="21"/>
              </w:rPr>
              <w:t>设置</w:t>
            </w:r>
            <w:r w:rsidR="00F4761E" w:rsidRPr="00956F3B">
              <w:rPr>
                <w:rFonts w:ascii="宋体" w:eastAsia="宋体" w:hAnsi="宋体" w:cs="Times New Roman" w:hint="eastAsia"/>
                <w:szCs w:val="21"/>
              </w:rPr>
              <w:t>“材料成型及控制工程”</w:t>
            </w:r>
            <w:r w:rsidRPr="00956F3B">
              <w:rPr>
                <w:rFonts w:ascii="宋体" w:eastAsia="宋体" w:hAnsi="宋体" w:cs="Times New Roman" w:hint="eastAsia"/>
                <w:szCs w:val="21"/>
              </w:rPr>
              <w:t>“金属材料工程”“无机非金属材料工程”</w:t>
            </w:r>
            <w:r w:rsidR="00F4761E">
              <w:rPr>
                <w:rFonts w:ascii="宋体" w:eastAsia="宋体" w:hAnsi="宋体" w:cs="Times New Roman" w:hint="eastAsia"/>
                <w:szCs w:val="21"/>
              </w:rPr>
              <w:t>“高分子材料与工程”“材料物理”</w:t>
            </w:r>
            <w:r w:rsidRPr="00956F3B">
              <w:rPr>
                <w:rFonts w:ascii="宋体" w:eastAsia="宋体" w:hAnsi="宋体" w:cs="Times New Roman" w:hint="eastAsia"/>
                <w:szCs w:val="21"/>
              </w:rPr>
              <w:t>“材料化学”和“包装工程”</w:t>
            </w:r>
            <w:r w:rsidR="00FF6016">
              <w:rPr>
                <w:rFonts w:ascii="宋体" w:eastAsia="宋体" w:hAnsi="宋体" w:cs="Times New Roman" w:hint="eastAsia"/>
                <w:szCs w:val="21"/>
              </w:rPr>
              <w:t>7个方向。</w:t>
            </w:r>
          </w:p>
        </w:tc>
      </w:tr>
      <w:tr w:rsidR="00941114" w:rsidRPr="00596A7B" w:rsidTr="00FF6016">
        <w:trPr>
          <w:jc w:val="center"/>
        </w:trPr>
        <w:tc>
          <w:tcPr>
            <w:tcW w:w="629"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人工智能</w:t>
            </w:r>
          </w:p>
        </w:tc>
        <w:tc>
          <w:tcPr>
            <w:tcW w:w="409" w:type="pct"/>
            <w:vAlign w:val="center"/>
          </w:tcPr>
          <w:p w:rsidR="00931DEE"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080915T</w:t>
            </w:r>
          </w:p>
          <w:p w:rsidR="00596A7B" w:rsidRPr="00596A7B"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（建议）</w:t>
            </w:r>
          </w:p>
        </w:tc>
        <w:tc>
          <w:tcPr>
            <w:tcW w:w="567"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计算机科学与技术学院</w:t>
            </w:r>
          </w:p>
        </w:tc>
        <w:tc>
          <w:tcPr>
            <w:tcW w:w="3396" w:type="pct"/>
          </w:tcPr>
          <w:p w:rsidR="00596A7B" w:rsidRPr="00596A7B" w:rsidRDefault="0083421E" w:rsidP="000F24F8">
            <w:pPr>
              <w:spacing w:before="100" w:beforeAutospacing="1" w:after="100" w:afterAutospacing="1" w:line="240" w:lineRule="atLeast"/>
              <w:rPr>
                <w:rFonts w:ascii="宋体" w:eastAsia="宋体" w:hAnsi="宋体" w:cs="Times New Roman"/>
                <w:szCs w:val="21"/>
              </w:rPr>
            </w:pPr>
            <w:r w:rsidRPr="0083421E">
              <w:rPr>
                <w:rFonts w:ascii="宋体" w:eastAsia="宋体" w:hAnsi="宋体" w:cs="Times New Roman" w:hint="eastAsia"/>
                <w:szCs w:val="21"/>
              </w:rPr>
              <w:t>培养学生具有坚实的数理基础和认知科学、信息科学相关知识，系统掌握人工智能基础理论与基本方法；具有运用人工智能的基本模型、原理与方法，设计有效的技术解决方案并能从事相关应用研究与开发的能力；具备良好的科学思维和科学实验素养，对人工智能关键领域的前沿技术有深刻理解，并具有相关方向的科学研究能力；能够适应国际化竞争环境，具有高度的社会责任感和良好的职业道德，以及终身学习能力和开拓创新精神。在我国人工智能产业发展中发挥领军作用，并有潜力成长为国际一流工程师、科学家或企业家。</w:t>
            </w:r>
          </w:p>
        </w:tc>
      </w:tr>
      <w:tr w:rsidR="00941114" w:rsidRPr="00596A7B" w:rsidTr="00FF6016">
        <w:trPr>
          <w:jc w:val="center"/>
        </w:trPr>
        <w:tc>
          <w:tcPr>
            <w:tcW w:w="629"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数据科学与大数据技术</w:t>
            </w:r>
          </w:p>
        </w:tc>
        <w:tc>
          <w:tcPr>
            <w:tcW w:w="409" w:type="pct"/>
            <w:vAlign w:val="center"/>
          </w:tcPr>
          <w:p w:rsidR="00596A7B" w:rsidRPr="00596A7B"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080910T</w:t>
            </w:r>
          </w:p>
        </w:tc>
        <w:tc>
          <w:tcPr>
            <w:tcW w:w="567"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软件学院</w:t>
            </w:r>
          </w:p>
        </w:tc>
        <w:tc>
          <w:tcPr>
            <w:tcW w:w="3396" w:type="pct"/>
          </w:tcPr>
          <w:p w:rsidR="00596A7B" w:rsidRPr="00596A7B" w:rsidRDefault="005125FC" w:rsidP="005125FC">
            <w:pPr>
              <w:spacing w:before="100" w:beforeAutospacing="1" w:after="100" w:afterAutospacing="1" w:line="240" w:lineRule="atLeast"/>
              <w:rPr>
                <w:rFonts w:ascii="宋体" w:eastAsia="宋体" w:hAnsi="宋体" w:cs="Times New Roman"/>
                <w:szCs w:val="21"/>
              </w:rPr>
            </w:pPr>
            <w:r w:rsidRPr="005125FC">
              <w:rPr>
                <w:rFonts w:ascii="宋体" w:eastAsia="宋体" w:hAnsi="宋体" w:cs="Times New Roman" w:hint="eastAsia"/>
                <w:szCs w:val="21"/>
              </w:rPr>
              <w:t>培养大数据科学与工程领域的复合型应用研究人员和产业领军人才。培养学生具有科学的人文精神、创新创业精神和良好的职业道德精神，具备自主学习能力、批判思维能力和国际交流能力；具有信息科学、管理科学和数据科学基础知识与基本技能，掌握数据科学与大数据技术所</w:t>
            </w:r>
            <w:r>
              <w:rPr>
                <w:rFonts w:ascii="宋体" w:eastAsia="宋体" w:hAnsi="宋体" w:cs="Times New Roman" w:hint="eastAsia"/>
                <w:szCs w:val="21"/>
              </w:rPr>
              <w:t>需要的计算机、网络、数据编码、数据处理等相关学科的基本理论和</w:t>
            </w:r>
            <w:r w:rsidRPr="005125FC">
              <w:rPr>
                <w:rFonts w:ascii="宋体" w:eastAsia="宋体" w:hAnsi="宋体" w:cs="Times New Roman" w:hint="eastAsia"/>
                <w:szCs w:val="21"/>
              </w:rPr>
              <w:t>知识，熟练掌握大数据采集、存储、处理与分析、传输与应用等技术，具备</w:t>
            </w:r>
            <w:r>
              <w:rPr>
                <w:rFonts w:ascii="宋体" w:eastAsia="宋体" w:hAnsi="宋体" w:cs="Times New Roman" w:hint="eastAsia"/>
                <w:szCs w:val="21"/>
              </w:rPr>
              <w:t>大数据工程项目的系统集成能力、应用软件设计和开发能力，具有一定</w:t>
            </w:r>
            <w:r w:rsidRPr="005125FC">
              <w:rPr>
                <w:rFonts w:ascii="宋体" w:eastAsia="宋体" w:hAnsi="宋体" w:cs="Times New Roman" w:hint="eastAsia"/>
                <w:szCs w:val="21"/>
              </w:rPr>
              <w:t>大数据科学研究的能力与素质。</w:t>
            </w:r>
          </w:p>
        </w:tc>
      </w:tr>
      <w:tr w:rsidR="00941114" w:rsidRPr="00596A7B" w:rsidTr="00FF6016">
        <w:trPr>
          <w:jc w:val="center"/>
        </w:trPr>
        <w:tc>
          <w:tcPr>
            <w:tcW w:w="629"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生物医学科学</w:t>
            </w:r>
          </w:p>
        </w:tc>
        <w:tc>
          <w:tcPr>
            <w:tcW w:w="409" w:type="pct"/>
            <w:vAlign w:val="center"/>
          </w:tcPr>
          <w:p w:rsidR="00596A7B" w:rsidRPr="00596A7B"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100103T</w:t>
            </w:r>
          </w:p>
        </w:tc>
        <w:tc>
          <w:tcPr>
            <w:tcW w:w="567"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基础医学院</w:t>
            </w:r>
          </w:p>
        </w:tc>
        <w:tc>
          <w:tcPr>
            <w:tcW w:w="3396" w:type="pct"/>
          </w:tcPr>
          <w:p w:rsidR="00596A7B" w:rsidRPr="00596A7B" w:rsidRDefault="00C7588B" w:rsidP="00C7588B">
            <w:pPr>
              <w:spacing w:before="100" w:beforeAutospacing="1" w:after="100" w:afterAutospacing="1" w:line="240" w:lineRule="atLeast"/>
              <w:rPr>
                <w:rFonts w:ascii="宋体" w:eastAsia="宋体" w:hAnsi="宋体" w:cs="Times New Roman"/>
                <w:szCs w:val="21"/>
              </w:rPr>
            </w:pPr>
            <w:r w:rsidRPr="00C7588B">
              <w:rPr>
                <w:rFonts w:ascii="宋体" w:eastAsia="宋体" w:hAnsi="宋体" w:cs="Times New Roman" w:hint="eastAsia"/>
                <w:szCs w:val="21"/>
              </w:rPr>
              <w:t>改变传统教学模式，引导学生从“被动接受”转变为“主动创造”，实行全程“一对一导师制”进行早期系统科研训练，</w:t>
            </w:r>
            <w:r>
              <w:rPr>
                <w:rFonts w:ascii="宋体" w:eastAsia="宋体" w:hAnsi="宋体" w:cs="Times New Roman" w:hint="eastAsia"/>
                <w:szCs w:val="21"/>
              </w:rPr>
              <w:t>培养</w:t>
            </w:r>
            <w:r w:rsidRPr="00C7588B">
              <w:rPr>
                <w:rFonts w:ascii="宋体" w:eastAsia="宋体" w:hAnsi="宋体" w:cs="Times New Roman" w:hint="eastAsia"/>
                <w:szCs w:val="21"/>
              </w:rPr>
              <w:t>既具有深厚的数理化功底和生命科学知识，又融会贯通医学知识，具备优秀的科研创新能力、宽广的国际化视野、卓越的人文素质和生物医学未来领袖潜质的医学教育和研究拔尖创新人才。</w:t>
            </w:r>
          </w:p>
        </w:tc>
      </w:tr>
      <w:tr w:rsidR="00941114" w:rsidRPr="00596A7B" w:rsidTr="00FF6016">
        <w:trPr>
          <w:jc w:val="center"/>
        </w:trPr>
        <w:tc>
          <w:tcPr>
            <w:tcW w:w="629"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lastRenderedPageBreak/>
              <w:t>智能制造工程</w:t>
            </w:r>
          </w:p>
        </w:tc>
        <w:tc>
          <w:tcPr>
            <w:tcW w:w="409" w:type="pct"/>
            <w:vAlign w:val="center"/>
          </w:tcPr>
          <w:p w:rsidR="00596A7B" w:rsidRPr="00596A7B"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080213T</w:t>
            </w:r>
          </w:p>
        </w:tc>
        <w:tc>
          <w:tcPr>
            <w:tcW w:w="567"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szCs w:val="21"/>
              </w:rPr>
              <w:t>机械工程学院</w:t>
            </w:r>
          </w:p>
        </w:tc>
        <w:tc>
          <w:tcPr>
            <w:tcW w:w="3396" w:type="pct"/>
          </w:tcPr>
          <w:p w:rsidR="00596A7B" w:rsidRPr="00596A7B" w:rsidRDefault="00575E2C" w:rsidP="00575E2C">
            <w:pPr>
              <w:spacing w:before="100" w:beforeAutospacing="1" w:after="100" w:afterAutospacing="1" w:line="240" w:lineRule="atLeast"/>
              <w:rPr>
                <w:rFonts w:ascii="宋体" w:eastAsia="宋体" w:hAnsi="宋体" w:cs="Times New Roman"/>
                <w:szCs w:val="21"/>
              </w:rPr>
            </w:pPr>
            <w:r w:rsidRPr="00575E2C">
              <w:rPr>
                <w:rFonts w:ascii="宋体" w:eastAsia="宋体" w:hAnsi="宋体" w:cs="Times New Roman" w:hint="eastAsia"/>
                <w:szCs w:val="21"/>
              </w:rPr>
              <w:t>面向国家智能制造、国家和区域经济社会发展需求、面向重大基础与应用基础研究、变革性技术、战略性高技术、重大战略性装备、战略性新兴产业，面向“中国特色、世界一流”的建设目标，应对以新技术、新产业、新业态和新模式为特征的新经济的挑战，坚持“宽口径、厚基础、强实践、重创新”的人才培养理念，培养能综合应用智能制造理论、人工智能、现代机械设计方法、计算机技术进行智能制造工艺与装备开发和制造，掌握宽厚的基础理论、扎实的专业知识和基本技能，具有较强的综合创新意识、独立工作能力和团队精神，具有高度社会责任感、良好的文化素养、宽厚的专业基础、开阔的国际视野、个性与人格健全发展的高素质创新型智能制造新工科人才。</w:t>
            </w:r>
          </w:p>
        </w:tc>
      </w:tr>
      <w:tr w:rsidR="00941114" w:rsidRPr="00596A7B" w:rsidTr="00FF6016">
        <w:trPr>
          <w:jc w:val="center"/>
        </w:trPr>
        <w:tc>
          <w:tcPr>
            <w:tcW w:w="629"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hint="eastAsia"/>
                <w:szCs w:val="21"/>
              </w:rPr>
              <w:t>国际商法</w:t>
            </w:r>
          </w:p>
        </w:tc>
        <w:tc>
          <w:tcPr>
            <w:tcW w:w="409" w:type="pct"/>
            <w:vAlign w:val="center"/>
          </w:tcPr>
          <w:p w:rsidR="00941114" w:rsidRDefault="00596A7B" w:rsidP="00596A7B">
            <w:pPr>
              <w:spacing w:line="500" w:lineRule="exact"/>
              <w:rPr>
                <w:rFonts w:ascii="宋体" w:eastAsia="宋体" w:hAnsi="宋体" w:cs="Times New Roman"/>
                <w:szCs w:val="21"/>
              </w:rPr>
            </w:pPr>
            <w:r w:rsidRPr="00596A7B">
              <w:rPr>
                <w:rFonts w:ascii="宋体" w:eastAsia="宋体" w:hAnsi="宋体" w:cs="Times New Roman"/>
                <w:szCs w:val="21"/>
              </w:rPr>
              <w:t>030101H</w:t>
            </w:r>
          </w:p>
          <w:p w:rsidR="00596A7B" w:rsidRPr="00596A7B" w:rsidRDefault="00596A7B" w:rsidP="00596A7B">
            <w:pPr>
              <w:spacing w:line="500" w:lineRule="exact"/>
              <w:rPr>
                <w:rFonts w:ascii="宋体" w:eastAsia="宋体" w:hAnsi="宋体" w:cs="Times New Roman"/>
                <w:szCs w:val="21"/>
              </w:rPr>
            </w:pPr>
            <w:r w:rsidRPr="00596A7B">
              <w:rPr>
                <w:rFonts w:ascii="宋体" w:eastAsia="宋体" w:hAnsi="宋体" w:cs="Times New Roman" w:hint="eastAsia"/>
                <w:szCs w:val="21"/>
              </w:rPr>
              <w:t>（建议）</w:t>
            </w:r>
          </w:p>
        </w:tc>
        <w:tc>
          <w:tcPr>
            <w:tcW w:w="567" w:type="pct"/>
            <w:vAlign w:val="center"/>
          </w:tcPr>
          <w:p w:rsidR="00596A7B" w:rsidRPr="00596A7B" w:rsidRDefault="00596A7B" w:rsidP="00941114">
            <w:pPr>
              <w:spacing w:line="500" w:lineRule="exact"/>
              <w:jc w:val="center"/>
              <w:rPr>
                <w:rFonts w:ascii="宋体" w:eastAsia="宋体" w:hAnsi="宋体" w:cs="Times New Roman"/>
                <w:szCs w:val="21"/>
              </w:rPr>
            </w:pPr>
            <w:r w:rsidRPr="00596A7B">
              <w:rPr>
                <w:rFonts w:ascii="宋体" w:eastAsia="宋体" w:hAnsi="宋体" w:cs="Times New Roman" w:hint="eastAsia"/>
                <w:szCs w:val="21"/>
              </w:rPr>
              <w:t>法学院</w:t>
            </w:r>
          </w:p>
        </w:tc>
        <w:tc>
          <w:tcPr>
            <w:tcW w:w="3396" w:type="pct"/>
          </w:tcPr>
          <w:p w:rsidR="003D693C" w:rsidRPr="00596A7B" w:rsidRDefault="00B30EF9" w:rsidP="003D693C">
            <w:pPr>
              <w:spacing w:before="100" w:beforeAutospacing="1" w:after="100" w:afterAutospacing="1" w:line="240" w:lineRule="atLeast"/>
              <w:rPr>
                <w:rFonts w:ascii="宋体" w:eastAsia="宋体" w:hAnsi="宋体" w:cs="Times New Roman" w:hint="eastAsia"/>
                <w:szCs w:val="21"/>
              </w:rPr>
            </w:pPr>
            <w:r w:rsidRPr="00B30EF9">
              <w:rPr>
                <w:rFonts w:ascii="宋体" w:eastAsia="宋体" w:hAnsi="宋体" w:cs="Times New Roman" w:hint="eastAsia"/>
                <w:szCs w:val="21"/>
              </w:rPr>
              <w:t>山东大学法学院和英国阿伯丁大学法学院两院</w:t>
            </w:r>
            <w:bookmarkStart w:id="0" w:name="_GoBack"/>
            <w:bookmarkEnd w:id="0"/>
            <w:r w:rsidRPr="00B30EF9">
              <w:rPr>
                <w:rFonts w:ascii="宋体" w:eastAsia="宋体" w:hAnsi="宋体" w:cs="Times New Roman" w:hint="eastAsia"/>
                <w:szCs w:val="21"/>
              </w:rPr>
              <w:t>合作</w:t>
            </w:r>
            <w:r>
              <w:rPr>
                <w:rFonts w:ascii="宋体" w:eastAsia="宋体" w:hAnsi="宋体" w:cs="Times New Roman" w:hint="eastAsia"/>
                <w:szCs w:val="21"/>
              </w:rPr>
              <w:t>培养</w:t>
            </w:r>
            <w:r w:rsidRPr="00B30EF9">
              <w:rPr>
                <w:rFonts w:ascii="宋体" w:eastAsia="宋体" w:hAnsi="宋体" w:cs="Times New Roman" w:hint="eastAsia"/>
                <w:szCs w:val="21"/>
              </w:rPr>
              <w:t>国际商法法学学士项目。</w:t>
            </w:r>
            <w:r w:rsidR="003D693C" w:rsidRPr="003D693C">
              <w:rPr>
                <w:rFonts w:ascii="宋体" w:eastAsia="宋体" w:hAnsi="宋体" w:cs="Times New Roman" w:hint="eastAsia"/>
                <w:szCs w:val="21"/>
              </w:rPr>
              <w:t>通过国际化的教育体系和育人环境，</w:t>
            </w:r>
            <w:r w:rsidR="004F6E5C" w:rsidRPr="004F6E5C">
              <w:rPr>
                <w:rFonts w:ascii="宋体" w:eastAsia="宋体" w:hAnsi="宋体" w:cs="Times New Roman" w:hint="eastAsia"/>
                <w:szCs w:val="21"/>
              </w:rPr>
              <w:t>培养具备跨国界、全球化的法学专业基本知识和技能，具备良好的人文素养和职业伦理修养，具有全球意识、世界视野和国际竞争力</w:t>
            </w:r>
            <w:r w:rsidR="003D693C">
              <w:rPr>
                <w:rFonts w:ascii="宋体" w:eastAsia="宋体" w:hAnsi="宋体" w:cs="Times New Roman" w:hint="eastAsia"/>
                <w:szCs w:val="21"/>
              </w:rPr>
              <w:t>，</w:t>
            </w:r>
            <w:r w:rsidR="003D693C" w:rsidRPr="003D693C">
              <w:rPr>
                <w:rFonts w:ascii="宋体" w:eastAsia="宋体" w:hAnsi="宋体" w:cs="Times New Roman" w:hint="eastAsia"/>
                <w:szCs w:val="21"/>
              </w:rPr>
              <w:t>熟悉国际规则，能够深度参与跨境商业活动和全球经济治理的</w:t>
            </w:r>
            <w:r w:rsidR="003D693C" w:rsidRPr="004F6E5C">
              <w:rPr>
                <w:rFonts w:ascii="宋体" w:eastAsia="宋体" w:hAnsi="宋体" w:cs="Times New Roman" w:hint="eastAsia"/>
                <w:szCs w:val="21"/>
              </w:rPr>
              <w:t>应用型、复合型、创新型</w:t>
            </w:r>
            <w:r w:rsidR="003D693C" w:rsidRPr="003D693C">
              <w:rPr>
                <w:rFonts w:ascii="宋体" w:eastAsia="宋体" w:hAnsi="宋体" w:cs="Times New Roman" w:hint="eastAsia"/>
                <w:szCs w:val="21"/>
              </w:rPr>
              <w:t>高端法律人才</w:t>
            </w:r>
            <w:r w:rsidR="004F6E5C" w:rsidRPr="004F6E5C">
              <w:rPr>
                <w:rFonts w:ascii="宋体" w:eastAsia="宋体" w:hAnsi="宋体" w:cs="Times New Roman" w:hint="eastAsia"/>
                <w:szCs w:val="21"/>
              </w:rPr>
              <w:t>。</w:t>
            </w:r>
            <w:r w:rsidR="003D693C" w:rsidRPr="00596A7B">
              <w:rPr>
                <w:rFonts w:ascii="宋体" w:eastAsia="宋体" w:hAnsi="宋体" w:cs="Times New Roman" w:hint="eastAsia"/>
                <w:szCs w:val="21"/>
              </w:rPr>
              <w:t xml:space="preserve"> </w:t>
            </w:r>
          </w:p>
        </w:tc>
      </w:tr>
    </w:tbl>
    <w:p w:rsidR="00F902C5" w:rsidRDefault="00F902C5">
      <w:pPr>
        <w:rPr>
          <w:rFonts w:hint="eastAsia"/>
        </w:rPr>
      </w:pPr>
    </w:p>
    <w:sectPr w:rsidR="00F902C5" w:rsidSect="00F902C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F48" w:rsidRDefault="001C0F48" w:rsidP="00F902C5">
      <w:r>
        <w:separator/>
      </w:r>
    </w:p>
  </w:endnote>
  <w:endnote w:type="continuationSeparator" w:id="0">
    <w:p w:rsidR="001C0F48" w:rsidRDefault="001C0F48" w:rsidP="00F9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F48" w:rsidRDefault="001C0F48" w:rsidP="00F902C5">
      <w:r>
        <w:separator/>
      </w:r>
    </w:p>
  </w:footnote>
  <w:footnote w:type="continuationSeparator" w:id="0">
    <w:p w:rsidR="001C0F48" w:rsidRDefault="001C0F48" w:rsidP="00F90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97"/>
    <w:rsid w:val="00090F84"/>
    <w:rsid w:val="000F24F8"/>
    <w:rsid w:val="00117198"/>
    <w:rsid w:val="001C0F48"/>
    <w:rsid w:val="002845A1"/>
    <w:rsid w:val="003D693C"/>
    <w:rsid w:val="00423C5F"/>
    <w:rsid w:val="004F6E5C"/>
    <w:rsid w:val="005125FC"/>
    <w:rsid w:val="00575E2C"/>
    <w:rsid w:val="00596A7B"/>
    <w:rsid w:val="005A3297"/>
    <w:rsid w:val="006E466C"/>
    <w:rsid w:val="0083421E"/>
    <w:rsid w:val="00931DEE"/>
    <w:rsid w:val="00941114"/>
    <w:rsid w:val="00956F3B"/>
    <w:rsid w:val="00A10BBB"/>
    <w:rsid w:val="00B30EF9"/>
    <w:rsid w:val="00BA7D0D"/>
    <w:rsid w:val="00C7588B"/>
    <w:rsid w:val="00F4761E"/>
    <w:rsid w:val="00F902C5"/>
    <w:rsid w:val="00FF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F046E"/>
  <w15:chartTrackingRefBased/>
  <w15:docId w15:val="{70299013-AB8E-4678-B305-EBC780A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2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02C5"/>
    <w:rPr>
      <w:sz w:val="18"/>
      <w:szCs w:val="18"/>
    </w:rPr>
  </w:style>
  <w:style w:type="paragraph" w:styleId="a5">
    <w:name w:val="footer"/>
    <w:basedOn w:val="a"/>
    <w:link w:val="a6"/>
    <w:uiPriority w:val="99"/>
    <w:unhideWhenUsed/>
    <w:rsid w:val="00F902C5"/>
    <w:pPr>
      <w:tabs>
        <w:tab w:val="center" w:pos="4153"/>
        <w:tab w:val="right" w:pos="8306"/>
      </w:tabs>
      <w:snapToGrid w:val="0"/>
      <w:jc w:val="left"/>
    </w:pPr>
    <w:rPr>
      <w:sz w:val="18"/>
      <w:szCs w:val="18"/>
    </w:rPr>
  </w:style>
  <w:style w:type="character" w:customStyle="1" w:styleId="a6">
    <w:name w:val="页脚 字符"/>
    <w:basedOn w:val="a0"/>
    <w:link w:val="a5"/>
    <w:uiPriority w:val="99"/>
    <w:rsid w:val="00F902C5"/>
    <w:rPr>
      <w:sz w:val="18"/>
      <w:szCs w:val="18"/>
    </w:rPr>
  </w:style>
  <w:style w:type="table" w:styleId="a7">
    <w:name w:val="Table Grid"/>
    <w:basedOn w:val="a1"/>
    <w:uiPriority w:val="39"/>
    <w:rsid w:val="00F90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251</Words>
  <Characters>1434</Characters>
  <Application>Microsoft Office Word</Application>
  <DocSecurity>0</DocSecurity>
  <Lines>11</Lines>
  <Paragraphs>3</Paragraphs>
  <ScaleCrop>false</ScaleCrop>
  <Company>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31</cp:revision>
  <dcterms:created xsi:type="dcterms:W3CDTF">2018-06-24T11:09:00Z</dcterms:created>
  <dcterms:modified xsi:type="dcterms:W3CDTF">2018-06-24T11:36:00Z</dcterms:modified>
</cp:coreProperties>
</file>